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Child’s Name: __________________________________   Age: ________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153035</wp:posOffset>
            </wp:positionH>
            <wp:positionV relativeFrom="paragraph">
              <wp:posOffset>114300</wp:posOffset>
            </wp:positionV>
            <wp:extent cx="1257300" cy="5715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jc w:val="right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Skagway Child Care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76" w:lineRule="auto"/>
        <w:ind w:firstLine="720"/>
        <w:jc w:val="right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DBA Little Dippers Learning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ind w:firstLine="720"/>
        <w:jc w:val="right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PO Box 419, Skagway, Alaska 99840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76" w:lineRule="auto"/>
        <w:ind w:firstLine="720"/>
        <w:jc w:val="right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(907) 983-2785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76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76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_2023____ Orientation Packet Checklist</w:t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(year)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Questrial" w:cs="Questrial" w:eastAsia="Questrial" w:hAnsi="Quest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5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0"/>
        <w:gridCol w:w="1500"/>
        <w:tblGridChange w:id="0">
          <w:tblGrid>
            <w:gridCol w:w="5070"/>
            <w:gridCol w:w="1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Forms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Received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Application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Month Calendar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 Handbook Agreement 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Immunization Record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Religious Exemption Form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 Release Authorization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 Emergency Information 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Field Trip Authorization 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 Release Authorization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Transportation Authorization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Topical Skin Products Authorization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Agreement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AutoPay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(optional)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7ey1nw6xoaqz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$25 per-child Registration Fee (cash/check*)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$150 per-family Deposit (cash/check*)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*CHECKS MUST BE MADE OUT TO: </w:t>
      </w:r>
      <w:r w:rsidDel="00000000" w:rsidR="00000000" w:rsidRPr="00000000">
        <w:rPr>
          <w:b w:val="1"/>
          <w:rtl w:val="0"/>
        </w:rPr>
        <w:t xml:space="preserve">SKAGWAY CHILD CARE COUNCIL</w:t>
      </w:r>
    </w:p>
    <w:p w:rsidR="00000000" w:rsidDel="00000000" w:rsidP="00000000" w:rsidRDefault="00000000" w:rsidRPr="00000000" w14:paraId="0000002F">
      <w:pPr>
        <w:pageBreakBefore w:val="0"/>
        <w:ind w:left="432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(Not Little Dippers)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estrial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Relationship Id="rId5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